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760" w:type="dxa"/>
        <w:tblInd w:w="-289" w:type="dxa"/>
        <w:tblLook w:val="04A0" w:firstRow="1" w:lastRow="0" w:firstColumn="1" w:lastColumn="0" w:noHBand="0" w:noVBand="1"/>
      </w:tblPr>
      <w:tblGrid>
        <w:gridCol w:w="8081"/>
        <w:gridCol w:w="4252"/>
        <w:gridCol w:w="2427"/>
      </w:tblGrid>
      <w:tr w:rsidR="005B42F5" w:rsidRPr="00A41E83" w14:paraId="0DD53E36" w14:textId="77777777" w:rsidTr="0050448D">
        <w:tc>
          <w:tcPr>
            <w:tcW w:w="12333" w:type="dxa"/>
            <w:gridSpan w:val="2"/>
            <w:shd w:val="clear" w:color="auto" w:fill="DEEAF6" w:themeFill="accent1" w:themeFillTint="33"/>
          </w:tcPr>
          <w:p w14:paraId="094BFFF1" w14:textId="77777777" w:rsidR="005B42F5" w:rsidRPr="00A41E83" w:rsidRDefault="005B42F5" w:rsidP="00A41E83">
            <w:pPr>
              <w:jc w:val="center"/>
              <w:rPr>
                <w:rFonts w:ascii="Times New Roman" w:eastAsia="Calibri" w:hAnsi="Times New Roman" w:cs="Times New Roman"/>
                <w:b/>
                <w:lang w:val="bg-BG"/>
              </w:rPr>
            </w:pPr>
          </w:p>
          <w:p w14:paraId="43A67081" w14:textId="77777777" w:rsidR="005B42F5" w:rsidRPr="00A41E83" w:rsidRDefault="005B42F5" w:rsidP="00A41E83">
            <w:pPr>
              <w:jc w:val="center"/>
              <w:rPr>
                <w:rFonts w:ascii="Times New Roman" w:eastAsia="Calibri" w:hAnsi="Times New Roman" w:cs="Times New Roman"/>
                <w:b/>
              </w:rPr>
            </w:pPr>
            <w:r w:rsidRPr="00A41E83">
              <w:rPr>
                <w:rFonts w:ascii="Times New Roman" w:eastAsia="Calibri" w:hAnsi="Times New Roman" w:cs="Times New Roman"/>
                <w:b/>
                <w:lang w:val="bg-BG"/>
              </w:rPr>
              <w:t>ПРИНЦИП 10.</w:t>
            </w:r>
            <w:r w:rsidRPr="00A41E83">
              <w:rPr>
                <w:rFonts w:ascii="Times New Roman" w:eastAsia="Calibri" w:hAnsi="Times New Roman" w:cs="Times New Roman"/>
                <w:lang w:val="bg-BG"/>
              </w:rPr>
              <w:t xml:space="preserve"> </w:t>
            </w:r>
            <w:r w:rsidRPr="00A41E83">
              <w:rPr>
                <w:rFonts w:ascii="Times New Roman" w:eastAsia="Times New Roman" w:hAnsi="Times New Roman" w:cs="Times New Roman"/>
                <w:b/>
                <w:noProof/>
                <w:lang w:eastAsia="bg-BG"/>
              </w:rPr>
              <w:t>СТАБИЛНО ФИНАНСОВО УПРАВЛЕНИЕ</w:t>
            </w:r>
          </w:p>
        </w:tc>
        <w:tc>
          <w:tcPr>
            <w:tcW w:w="2427" w:type="dxa"/>
            <w:shd w:val="clear" w:color="auto" w:fill="DEEAF6" w:themeFill="accent1" w:themeFillTint="33"/>
          </w:tcPr>
          <w:p w14:paraId="6336E84B" w14:textId="26F0A4FB" w:rsidR="005B42F5" w:rsidRPr="00A41E83" w:rsidRDefault="005B42F5" w:rsidP="00A41E83">
            <w:pPr>
              <w:jc w:val="center"/>
              <w:rPr>
                <w:rFonts w:ascii="Times New Roman" w:eastAsia="Calibri" w:hAnsi="Times New Roman" w:cs="Times New Roman"/>
                <w:b/>
                <w:lang w:val="bg-BG"/>
              </w:rPr>
            </w:pPr>
            <w:r w:rsidRPr="00A41E83">
              <w:rPr>
                <w:rFonts w:ascii="Times New Roman" w:eastAsia="Calibri" w:hAnsi="Times New Roman" w:cs="Times New Roman"/>
                <w:b/>
                <w:lang w:val="bg-BG"/>
              </w:rPr>
              <w:t>ОБЩИНА:</w:t>
            </w:r>
            <w:r w:rsidR="0050363A">
              <w:rPr>
                <w:rFonts w:ascii="Times New Roman" w:eastAsia="Calibri" w:hAnsi="Times New Roman" w:cs="Times New Roman"/>
                <w:b/>
                <w:lang w:val="bg-BG"/>
              </w:rPr>
              <w:t xml:space="preserve"> КАСПИЧАН</w:t>
            </w:r>
          </w:p>
          <w:p w14:paraId="4C7A6082" w14:textId="77777777" w:rsidR="005B42F5" w:rsidRPr="00A41E83" w:rsidRDefault="005B42F5" w:rsidP="00A41E83">
            <w:pPr>
              <w:jc w:val="center"/>
              <w:rPr>
                <w:rFonts w:ascii="Times New Roman" w:eastAsia="Calibri" w:hAnsi="Times New Roman" w:cs="Times New Roman"/>
                <w:b/>
              </w:rPr>
            </w:pPr>
          </w:p>
        </w:tc>
      </w:tr>
      <w:tr w:rsidR="005B42F5" w:rsidRPr="00A41E83" w14:paraId="22007455" w14:textId="77777777" w:rsidTr="0014574B">
        <w:tc>
          <w:tcPr>
            <w:tcW w:w="8081" w:type="dxa"/>
            <w:shd w:val="clear" w:color="auto" w:fill="auto"/>
          </w:tcPr>
          <w:p w14:paraId="48C04F12" w14:textId="77777777" w:rsidR="005B42F5" w:rsidRPr="00A41E83" w:rsidRDefault="005B42F5" w:rsidP="00A41E83">
            <w:pPr>
              <w:jc w:val="center"/>
              <w:rPr>
                <w:rFonts w:ascii="Times New Roman" w:eastAsia="Calibri" w:hAnsi="Times New Roman" w:cs="Times New Roman"/>
                <w:b/>
                <w:lang w:val="bg-BG"/>
              </w:rPr>
            </w:pPr>
            <w:r w:rsidRPr="00A41E83">
              <w:rPr>
                <w:rFonts w:ascii="Times New Roman" w:eastAsia="Calibri" w:hAnsi="Times New Roman" w:cs="Times New Roman"/>
                <w:b/>
                <w:lang w:val="bg-BG"/>
              </w:rPr>
              <w:t>Дейности и индикатори</w:t>
            </w:r>
          </w:p>
        </w:tc>
        <w:tc>
          <w:tcPr>
            <w:tcW w:w="4252" w:type="dxa"/>
            <w:tcBorders>
              <w:top w:val="single" w:sz="8" w:space="0" w:color="000000"/>
              <w:left w:val="single" w:sz="8" w:space="0" w:color="000000"/>
              <w:bottom w:val="single" w:sz="8" w:space="0" w:color="000000"/>
              <w:right w:val="single" w:sz="8" w:space="0" w:color="000000"/>
            </w:tcBorders>
            <w:shd w:val="clear" w:color="auto" w:fill="auto"/>
          </w:tcPr>
          <w:p w14:paraId="14A63AE3" w14:textId="77777777" w:rsidR="005B42F5" w:rsidRPr="00A41E83" w:rsidRDefault="005B42F5" w:rsidP="00A41E83">
            <w:pPr>
              <w:jc w:val="center"/>
              <w:textAlignment w:val="baseline"/>
              <w:rPr>
                <w:rFonts w:ascii="Times New Roman" w:eastAsia="Calibri" w:hAnsi="Times New Roman" w:cs="Times New Roman"/>
                <w:b/>
                <w:bCs/>
                <w:kern w:val="24"/>
                <w:lang w:val="bg-BG" w:eastAsia="bg-BG"/>
              </w:rPr>
            </w:pPr>
            <w:r w:rsidRPr="00A41E83">
              <w:rPr>
                <w:rFonts w:ascii="Times New Roman" w:eastAsia="Calibri" w:hAnsi="Times New Roman" w:cs="Times New Roman"/>
                <w:b/>
                <w:bCs/>
                <w:kern w:val="24"/>
                <w:lang w:val="bg-BG" w:eastAsia="bg-BG"/>
              </w:rPr>
              <w:t xml:space="preserve">Коментар/бележки </w:t>
            </w:r>
          </w:p>
          <w:p w14:paraId="482DC5AB" w14:textId="77777777" w:rsidR="005B42F5" w:rsidRPr="00A41E83" w:rsidRDefault="005B42F5" w:rsidP="00A41E83">
            <w:pPr>
              <w:jc w:val="center"/>
              <w:textAlignment w:val="baseline"/>
              <w:rPr>
                <w:rFonts w:ascii="Times New Roman" w:eastAsia="Times New Roman" w:hAnsi="Times New Roman" w:cs="Times New Roman"/>
                <w:b/>
                <w:bCs/>
                <w:lang w:val="bg-BG" w:eastAsia="bg-BG"/>
              </w:rPr>
            </w:pPr>
            <w:r w:rsidRPr="00A41E83">
              <w:rPr>
                <w:rFonts w:ascii="Times New Roman" w:eastAsia="Calibri" w:hAnsi="Times New Roman" w:cs="Times New Roman"/>
                <w:b/>
                <w:bCs/>
                <w:kern w:val="24"/>
                <w:lang w:val="bg-BG" w:eastAsia="bg-BG"/>
              </w:rPr>
              <w:t>на независимия експерт</w:t>
            </w:r>
            <w:r w:rsidRPr="00A41E83">
              <w:rPr>
                <w:rFonts w:ascii="Times New Roman" w:eastAsia="Times New Roman" w:hAnsi="Times New Roman" w:cs="Times New Roman"/>
                <w:b/>
                <w:bCs/>
                <w:lang w:val="bg-BG" w:eastAsia="bg-BG"/>
              </w:rPr>
              <w:t xml:space="preserve"> </w:t>
            </w:r>
          </w:p>
        </w:tc>
        <w:tc>
          <w:tcPr>
            <w:tcW w:w="2427" w:type="dxa"/>
            <w:tcBorders>
              <w:top w:val="single" w:sz="8" w:space="0" w:color="000000"/>
              <w:left w:val="single" w:sz="8" w:space="0" w:color="000000"/>
              <w:right w:val="single" w:sz="8" w:space="0" w:color="000000"/>
            </w:tcBorders>
            <w:shd w:val="clear" w:color="auto" w:fill="auto"/>
          </w:tcPr>
          <w:p w14:paraId="1F051B99" w14:textId="77777777" w:rsidR="005B42F5" w:rsidRPr="00A41E83" w:rsidRDefault="005B42F5" w:rsidP="00A41E83">
            <w:pPr>
              <w:jc w:val="center"/>
              <w:textAlignment w:val="baseline"/>
              <w:rPr>
                <w:rFonts w:ascii="Times New Roman" w:eastAsia="Calibri" w:hAnsi="Times New Roman" w:cs="Times New Roman"/>
                <w:bCs/>
                <w:kern w:val="24"/>
                <w:lang w:val="bg-BG" w:eastAsia="bg-BG"/>
              </w:rPr>
            </w:pPr>
            <w:r w:rsidRPr="00A41E83">
              <w:rPr>
                <w:rFonts w:ascii="Times New Roman" w:eastAsia="Times New Roman" w:hAnsi="Times New Roman" w:cs="Times New Roman"/>
                <w:b/>
                <w:bCs/>
                <w:lang w:val="bg-BG" w:eastAsia="bg-BG"/>
              </w:rPr>
              <w:t>Мнение на независимия експерт</w:t>
            </w:r>
          </w:p>
        </w:tc>
      </w:tr>
      <w:tr w:rsidR="001D2469" w:rsidRPr="00A41E83" w14:paraId="4EC62F6B" w14:textId="77777777" w:rsidTr="00512DB3">
        <w:tc>
          <w:tcPr>
            <w:tcW w:w="14760" w:type="dxa"/>
            <w:gridSpan w:val="3"/>
            <w:shd w:val="clear" w:color="auto" w:fill="FBE4D5" w:themeFill="accent2" w:themeFillTint="33"/>
          </w:tcPr>
          <w:p w14:paraId="067B99C1" w14:textId="77777777" w:rsidR="001D2469" w:rsidRPr="00A41E83" w:rsidRDefault="007B48EC" w:rsidP="00A41E83">
            <w:pPr>
              <w:jc w:val="both"/>
              <w:rPr>
                <w:rFonts w:ascii="Times New Roman" w:eastAsia="Calibri" w:hAnsi="Times New Roman" w:cs="Times New Roman"/>
                <w:b/>
                <w:lang w:val="bg-BG"/>
              </w:rPr>
            </w:pPr>
            <w:r>
              <w:rPr>
                <w:rFonts w:ascii="Times New Roman" w:eastAsia="Calibri" w:hAnsi="Times New Roman" w:cs="Times New Roman"/>
                <w:b/>
                <w:lang w:val="bg-BG"/>
              </w:rPr>
              <w:t>ДЕЙНОСТ 1:</w:t>
            </w:r>
            <w:r w:rsidR="001D2469" w:rsidRPr="00A41E83">
              <w:rPr>
                <w:rFonts w:ascii="Times New Roman" w:eastAsia="Calibri" w:hAnsi="Times New Roman" w:cs="Times New Roman"/>
                <w:b/>
                <w:lang w:val="bg-BG"/>
              </w:rPr>
              <w:t xml:space="preserve"> Таксите на предоставяните услуги не надхвърлят реалната им стойност и не намаляват прекомерно много търсенето, особено в случаите когато се отнася за важни публични услуги.</w:t>
            </w:r>
          </w:p>
        </w:tc>
      </w:tr>
      <w:tr w:rsidR="00512DB3" w:rsidRPr="00A41E83" w14:paraId="6C53F296" w14:textId="77777777" w:rsidTr="0014574B">
        <w:tc>
          <w:tcPr>
            <w:tcW w:w="8081" w:type="dxa"/>
            <w:shd w:val="clear" w:color="auto" w:fill="auto"/>
          </w:tcPr>
          <w:p w14:paraId="2415FF74" w14:textId="77777777" w:rsidR="00512DB3" w:rsidRPr="00A41E83" w:rsidRDefault="00512DB3" w:rsidP="00512DB3">
            <w:pPr>
              <w:rPr>
                <w:rFonts w:ascii="Times New Roman" w:eastAsia="Calibri" w:hAnsi="Times New Roman" w:cs="Times New Roman"/>
                <w:b/>
                <w:lang w:val="bg-BG"/>
              </w:rPr>
            </w:pPr>
            <w:r w:rsidRPr="00A41E83">
              <w:rPr>
                <w:rFonts w:ascii="Times New Roman" w:eastAsia="Calibri" w:hAnsi="Times New Roman" w:cs="Times New Roman"/>
                <w:b/>
                <w:lang w:val="bg-BG"/>
              </w:rPr>
              <w:t>Индикатор 1. Длъжностните лица ясно определят обосновката и базата за цените на услугите.</w:t>
            </w:r>
          </w:p>
        </w:tc>
        <w:tc>
          <w:tcPr>
            <w:tcW w:w="4252" w:type="dxa"/>
            <w:shd w:val="clear" w:color="auto" w:fill="FFFFFF" w:themeFill="background1"/>
          </w:tcPr>
          <w:p w14:paraId="5BE8D516" w14:textId="41C40514" w:rsidR="0040042A" w:rsidRPr="0040042A" w:rsidRDefault="0040042A" w:rsidP="0040042A">
            <w:pPr>
              <w:spacing w:line="276" w:lineRule="auto"/>
              <w:rPr>
                <w:rFonts w:ascii="Times New Roman" w:eastAsia="Calibri" w:hAnsi="Times New Roman" w:cs="Times New Roman"/>
                <w:sz w:val="20"/>
                <w:szCs w:val="20"/>
                <w:lang w:val="bg-BG"/>
              </w:rPr>
            </w:pPr>
            <w:r w:rsidRPr="0040042A">
              <w:rPr>
                <w:rFonts w:ascii="Times New Roman" w:eastAsia="Calibri" w:hAnsi="Times New Roman" w:cs="Times New Roman"/>
                <w:sz w:val="20"/>
                <w:szCs w:val="20"/>
                <w:lang w:val="bg-BG"/>
              </w:rPr>
              <w:t>Прилагат се Наредба за определянето и администрирането на местните такси и цени на услуги, последно. изм. с Решение № 240 по протокол 19/ 19.12.2024 г. и Наредба за определяне на местните данъци на територията на община Каспичан. На сайта на община</w:t>
            </w:r>
            <w:r>
              <w:rPr>
                <w:rFonts w:ascii="Times New Roman" w:eastAsia="Calibri" w:hAnsi="Times New Roman" w:cs="Times New Roman"/>
                <w:sz w:val="20"/>
                <w:szCs w:val="20"/>
                <w:lang w:val="bg-BG"/>
              </w:rPr>
              <w:t xml:space="preserve">та </w:t>
            </w:r>
            <w:r w:rsidRPr="0040042A">
              <w:rPr>
                <w:rFonts w:ascii="Times New Roman" w:eastAsia="Calibri" w:hAnsi="Times New Roman" w:cs="Times New Roman"/>
                <w:sz w:val="20"/>
                <w:szCs w:val="20"/>
                <w:lang w:val="bg-BG"/>
              </w:rPr>
              <w:t xml:space="preserve">е публикуван ценоразпис с цените на неуредени със закон услуги, предоставяни от общината на физически и юридически лица. </w:t>
            </w:r>
          </w:p>
          <w:p w14:paraId="0E438BEE" w14:textId="77777777" w:rsidR="0040042A" w:rsidRPr="0040042A" w:rsidRDefault="0040042A" w:rsidP="0040042A">
            <w:pPr>
              <w:spacing w:line="276" w:lineRule="auto"/>
              <w:rPr>
                <w:rFonts w:ascii="Times New Roman" w:eastAsia="Calibri" w:hAnsi="Times New Roman" w:cs="Times New Roman"/>
                <w:sz w:val="20"/>
                <w:szCs w:val="20"/>
                <w:lang w:val="bg-BG"/>
              </w:rPr>
            </w:pPr>
            <w:r w:rsidRPr="0040042A">
              <w:rPr>
                <w:rFonts w:ascii="Times New Roman" w:eastAsia="Calibri" w:hAnsi="Times New Roman" w:cs="Times New Roman"/>
                <w:sz w:val="20"/>
                <w:szCs w:val="20"/>
                <w:lang w:val="bg-BG"/>
              </w:rPr>
              <w:t xml:space="preserve">Размерът на таксите се определя при спазване на принципите: възстановяване на пълните разходи на общината по предоставяне на услугата, създаване на условия за разширяване на предлаганите услуги и повишаване на тяхното качество, постигане на по- голяма справедливост по определяне на таксите. Съгласно чл. 6 (1) от Наредба за определянето и администрирането на местните такси и цени на услуги в община Каспичан размерът на таксата може и да не възстановява пълните разходи на общината по предоставянето на определена услуга, когато общинският съвет реши, че това се налага за защита на обществения интерес. </w:t>
            </w:r>
          </w:p>
          <w:p w14:paraId="7AF5C7F9" w14:textId="1C0910C5" w:rsidR="00512DB3" w:rsidRPr="0040042A" w:rsidRDefault="0040042A" w:rsidP="0040042A">
            <w:pPr>
              <w:spacing w:line="276" w:lineRule="auto"/>
              <w:rPr>
                <w:rFonts w:ascii="Times New Roman" w:eastAsia="Calibri" w:hAnsi="Times New Roman" w:cs="Times New Roman"/>
                <w:sz w:val="20"/>
                <w:szCs w:val="20"/>
                <w:lang w:val="bg-BG"/>
              </w:rPr>
            </w:pPr>
            <w:r w:rsidRPr="0040042A">
              <w:rPr>
                <w:rFonts w:ascii="Times New Roman" w:eastAsia="Calibri" w:hAnsi="Times New Roman" w:cs="Times New Roman"/>
                <w:sz w:val="20"/>
                <w:szCs w:val="20"/>
                <w:lang w:val="bg-BG"/>
              </w:rPr>
              <w:t xml:space="preserve">Размерите на местните данъци се определят с Наредбата за определяне размера на местните данъци на територията на община Каспичан </w:t>
            </w:r>
            <w:r w:rsidRPr="0040042A">
              <w:rPr>
                <w:rFonts w:ascii="Times New Roman" w:eastAsia="Calibri" w:hAnsi="Times New Roman" w:cs="Times New Roman"/>
                <w:sz w:val="20"/>
                <w:szCs w:val="20"/>
                <w:lang w:val="bg-BG"/>
              </w:rPr>
              <w:lastRenderedPageBreak/>
              <w:t>при условията, по реда и в границите, определени в З</w:t>
            </w:r>
            <w:r>
              <w:rPr>
                <w:rFonts w:ascii="Times New Roman" w:eastAsia="Calibri" w:hAnsi="Times New Roman" w:cs="Times New Roman"/>
                <w:sz w:val="20"/>
                <w:szCs w:val="20"/>
                <w:lang w:val="bg-BG"/>
              </w:rPr>
              <w:t>МДТ.</w:t>
            </w:r>
          </w:p>
        </w:tc>
        <w:tc>
          <w:tcPr>
            <w:tcW w:w="2427" w:type="dxa"/>
            <w:shd w:val="clear" w:color="auto" w:fill="FFFFFF" w:themeFill="background1"/>
          </w:tcPr>
          <w:p w14:paraId="42059C8F" w14:textId="5547A892" w:rsidR="00512DB3" w:rsidRPr="008573D0" w:rsidRDefault="0050363A" w:rsidP="0050363A">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1D2469" w:rsidRPr="00A41E83" w14:paraId="500A7A60" w14:textId="77777777" w:rsidTr="00512DB3">
        <w:tc>
          <w:tcPr>
            <w:tcW w:w="14760" w:type="dxa"/>
            <w:gridSpan w:val="3"/>
            <w:shd w:val="clear" w:color="auto" w:fill="FBE4D5" w:themeFill="accent2" w:themeFillTint="33"/>
          </w:tcPr>
          <w:p w14:paraId="6B8E601F" w14:textId="77777777" w:rsidR="001D2469" w:rsidRPr="00A41E83" w:rsidRDefault="001D2469" w:rsidP="00A41E83">
            <w:pPr>
              <w:jc w:val="both"/>
              <w:rPr>
                <w:rFonts w:ascii="Times New Roman" w:eastAsia="Calibri" w:hAnsi="Times New Roman" w:cs="Times New Roman"/>
                <w:lang w:val="bg-BG"/>
              </w:rPr>
            </w:pPr>
            <w:r w:rsidRPr="00A41E83">
              <w:rPr>
                <w:rFonts w:ascii="Times New Roman" w:eastAsia="Calibri" w:hAnsi="Times New Roman" w:cs="Times New Roman"/>
                <w:b/>
                <w:lang w:val="bg-BG"/>
              </w:rPr>
              <w:t>ДЕЙНОСТ 2</w:t>
            </w:r>
            <w:r w:rsidR="007B48EC">
              <w:rPr>
                <w:rFonts w:ascii="Times New Roman" w:eastAsia="Calibri" w:hAnsi="Times New Roman" w:cs="Times New Roman"/>
                <w:b/>
                <w:lang w:val="bg-BG"/>
              </w:rPr>
              <w:t>:</w:t>
            </w:r>
            <w:r w:rsidRPr="00A41E83">
              <w:rPr>
                <w:rFonts w:ascii="Times New Roman" w:eastAsia="Times New Roman" w:hAnsi="Times New Roman" w:cs="Times New Roman"/>
                <w:noProof/>
                <w:lang w:val="bg-BG" w:eastAsia="bg-BG"/>
              </w:rPr>
              <w:t xml:space="preserve"> </w:t>
            </w:r>
            <w:r w:rsidRPr="00A41E83">
              <w:rPr>
                <w:rFonts w:ascii="Times New Roman" w:eastAsia="Calibri" w:hAnsi="Times New Roman" w:cs="Times New Roman"/>
                <w:b/>
                <w:lang w:val="bg-BG"/>
              </w:rPr>
              <w:t>Следи се за целесъобразност при финансовото управление, включително при сключване на договори и използване на заеми, при изчисляване на ресурси, приходи и резерви, и при използване на допълнителни приходи.</w:t>
            </w:r>
          </w:p>
        </w:tc>
      </w:tr>
      <w:tr w:rsidR="00512DB3" w:rsidRPr="00A41E83" w14:paraId="754DF370" w14:textId="77777777" w:rsidTr="0014574B">
        <w:tc>
          <w:tcPr>
            <w:tcW w:w="8081" w:type="dxa"/>
            <w:shd w:val="clear" w:color="auto" w:fill="auto"/>
          </w:tcPr>
          <w:p w14:paraId="3D058B1E" w14:textId="77777777" w:rsidR="00512DB3" w:rsidRPr="00A41E83" w:rsidRDefault="00512DB3" w:rsidP="00512DB3">
            <w:pPr>
              <w:jc w:val="both"/>
              <w:rPr>
                <w:rFonts w:ascii="Times New Roman" w:eastAsia="Calibri" w:hAnsi="Times New Roman" w:cs="Times New Roman"/>
                <w:b/>
                <w:iCs/>
                <w:lang w:val="bg-BG"/>
              </w:rPr>
            </w:pPr>
            <w:r w:rsidRPr="00A41E83">
              <w:rPr>
                <w:rFonts w:ascii="Times New Roman" w:eastAsia="Calibri" w:hAnsi="Times New Roman" w:cs="Times New Roman"/>
                <w:b/>
                <w:iCs/>
                <w:lang w:val="bg-BG"/>
              </w:rPr>
              <w:t>Индикатор 2. Приети организационни документи определят финансовите отговорности, които важат за всички общински служители.</w:t>
            </w:r>
          </w:p>
        </w:tc>
        <w:tc>
          <w:tcPr>
            <w:tcW w:w="4252" w:type="dxa"/>
            <w:shd w:val="clear" w:color="auto" w:fill="FFFFFF" w:themeFill="background1"/>
          </w:tcPr>
          <w:p w14:paraId="18B6DA5D" w14:textId="23827700" w:rsidR="00512DB3" w:rsidRPr="0040042A" w:rsidRDefault="0040042A" w:rsidP="0040042A">
            <w:pPr>
              <w:spacing w:line="276" w:lineRule="auto"/>
              <w:jc w:val="both"/>
              <w:rPr>
                <w:rFonts w:ascii="Times New Roman" w:eastAsia="Calibri" w:hAnsi="Times New Roman" w:cs="Times New Roman"/>
                <w:sz w:val="20"/>
                <w:szCs w:val="20"/>
                <w:lang w:val="bg-BG"/>
              </w:rPr>
            </w:pPr>
            <w:r w:rsidRPr="0040042A">
              <w:rPr>
                <w:rFonts w:ascii="Times New Roman" w:eastAsia="Calibri" w:hAnsi="Times New Roman" w:cs="Times New Roman"/>
                <w:sz w:val="20"/>
                <w:szCs w:val="20"/>
                <w:lang w:val="bg-BG"/>
              </w:rPr>
              <w:t>Приети са организационни документи, които определят финансовите отговорности: Счетоводна политика на община Каспичан за съставяне на отчети и текуща счетоводна отчетност; Индивидуален сметкоплан; Система за финансово управление и контрол (СФУК); Стратегия за управление на риска, Риск- регистър; Процедура за недопускане на двойно финансиране на дейности; Вътрешни правила за обществени поръчки; Вътрешни правила за прилагане на Закона за предотвратяване и разкриване на конфликт на интереси. В представената документация към кандидатурата на община Каспичан са посочени линкове към тези документи.</w:t>
            </w:r>
          </w:p>
        </w:tc>
        <w:tc>
          <w:tcPr>
            <w:tcW w:w="2427" w:type="dxa"/>
            <w:shd w:val="clear" w:color="auto" w:fill="FFFFFF" w:themeFill="background1"/>
          </w:tcPr>
          <w:p w14:paraId="39E3DACE" w14:textId="59090FA3" w:rsidR="00512DB3" w:rsidRPr="008573D0" w:rsidRDefault="0050363A"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12DB3" w:rsidRPr="00A41E83" w14:paraId="18455901" w14:textId="77777777" w:rsidTr="0014574B">
        <w:tc>
          <w:tcPr>
            <w:tcW w:w="8081" w:type="dxa"/>
            <w:shd w:val="clear" w:color="auto" w:fill="auto"/>
          </w:tcPr>
          <w:p w14:paraId="4A811163" w14:textId="77777777" w:rsidR="00512DB3" w:rsidRPr="00A41E83" w:rsidRDefault="00512DB3" w:rsidP="00512DB3">
            <w:pPr>
              <w:jc w:val="both"/>
              <w:rPr>
                <w:rFonts w:ascii="Times New Roman" w:eastAsia="Calibri" w:hAnsi="Times New Roman" w:cs="Times New Roman"/>
                <w:b/>
                <w:iCs/>
                <w:lang w:val="bg-BG"/>
              </w:rPr>
            </w:pPr>
            <w:r w:rsidRPr="00A41E83">
              <w:rPr>
                <w:rFonts w:ascii="Times New Roman" w:eastAsia="Calibri" w:hAnsi="Times New Roman" w:cs="Times New Roman"/>
                <w:b/>
                <w:lang w:val="bg-BG"/>
              </w:rPr>
              <w:t>Индикатор 3.</w:t>
            </w:r>
            <w:r w:rsidRPr="00A41E83">
              <w:rPr>
                <w:rFonts w:ascii="Times New Roman" w:eastAsia="Calibri" w:hAnsi="Times New Roman" w:cs="Times New Roman"/>
                <w:b/>
                <w:iCs/>
                <w:noProof/>
                <w:lang w:val="bg-BG" w:eastAsia="bg-BG"/>
              </w:rPr>
              <w:t xml:space="preserve"> </w:t>
            </w:r>
            <w:r w:rsidRPr="00A41E83">
              <w:rPr>
                <w:rFonts w:ascii="Times New Roman" w:eastAsia="Calibri" w:hAnsi="Times New Roman" w:cs="Times New Roman"/>
                <w:b/>
                <w:bCs/>
                <w:iCs/>
                <w:noProof/>
                <w:lang w:val="bg-BG" w:eastAsia="bg-BG"/>
              </w:rPr>
              <w:t>Вътрешния одит проверява финансовите операции, за да се осигури съответствие с одобрените вътрешни процедури. Прилага се и редовно се актуализира Система за финансово управление и контрол.</w:t>
            </w:r>
          </w:p>
        </w:tc>
        <w:tc>
          <w:tcPr>
            <w:tcW w:w="4252" w:type="dxa"/>
            <w:shd w:val="clear" w:color="auto" w:fill="FFFFFF" w:themeFill="background1"/>
          </w:tcPr>
          <w:p w14:paraId="394C16CB" w14:textId="3313C8D8" w:rsidR="0040042A" w:rsidRDefault="0040042A" w:rsidP="00BE2F77">
            <w:pPr>
              <w:spacing w:line="276" w:lineRule="auto"/>
              <w:jc w:val="both"/>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 xml:space="preserve">В структурно отношение е обособено звено „Вътрешен одит“ в структурата на общината, регламентирани са функциите на вътрешния одит. Обявени са конкурси за избор на вътрешни одитори, които са прекратени поради липса на кандидати. Така дейност вътрешен одит не се извършва, тъй като звеното не е окомплектовано със специалисти. Бюджетът на община Каспичан надхвърля 10 млн. лв. и осъществяването на вътрешен одит е задължително изискване по смисъла на Закона за вътрешния одит в публичния сектор и Закона за публичните финанси. </w:t>
            </w:r>
          </w:p>
          <w:p w14:paraId="070E9CFA" w14:textId="77777777" w:rsidR="00512DB3" w:rsidRDefault="0040042A" w:rsidP="0040042A">
            <w:pPr>
              <w:spacing w:line="276" w:lineRule="auto"/>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 xml:space="preserve">Приложените Заповеди показват, че </w:t>
            </w:r>
            <w:r>
              <w:rPr>
                <w:rFonts w:ascii="Times New Roman" w:eastAsia="Calibri" w:hAnsi="Times New Roman" w:cs="Times New Roman"/>
                <w:sz w:val="20"/>
                <w:szCs w:val="20"/>
                <w:lang w:val="bg-BG"/>
              </w:rPr>
              <w:t>СФУК се актуализира редовно</w:t>
            </w:r>
            <w:r>
              <w:rPr>
                <w:rFonts w:ascii="Times New Roman" w:eastAsia="Calibri" w:hAnsi="Times New Roman" w:cs="Times New Roman"/>
                <w:sz w:val="20"/>
                <w:szCs w:val="20"/>
                <w:lang w:val="bg-BG"/>
              </w:rPr>
              <w:t>.</w:t>
            </w:r>
          </w:p>
          <w:p w14:paraId="5484ECFD" w14:textId="1B7160FF" w:rsidR="0059444C" w:rsidRPr="0059444C" w:rsidRDefault="0059444C" w:rsidP="0059444C">
            <w:pPr>
              <w:spacing w:line="276" w:lineRule="auto"/>
              <w:jc w:val="both"/>
              <w:rPr>
                <w:rFonts w:ascii="Times New Roman" w:eastAsia="Calibri" w:hAnsi="Times New Roman" w:cs="Times New Roman"/>
                <w:i/>
                <w:iCs/>
                <w:sz w:val="20"/>
                <w:szCs w:val="20"/>
                <w:u w:val="single"/>
                <w:lang w:val="bg-BG"/>
              </w:rPr>
            </w:pPr>
            <w:r w:rsidRPr="0059444C">
              <w:rPr>
                <w:rFonts w:ascii="Times New Roman" w:eastAsia="Calibri" w:hAnsi="Times New Roman" w:cs="Times New Roman"/>
                <w:i/>
                <w:iCs/>
                <w:sz w:val="20"/>
                <w:szCs w:val="20"/>
                <w:u w:val="single"/>
                <w:lang w:val="bg-BG"/>
              </w:rPr>
              <w:lastRenderedPageBreak/>
              <w:t>Община Каспичан добросъвестно представя документи (доклади, отчети, обявления), свързани с вътрешния одит и е виден стремежът за подобрения в тази област и стриктно съблюдаване на законовите изисквания.</w:t>
            </w:r>
          </w:p>
        </w:tc>
        <w:tc>
          <w:tcPr>
            <w:tcW w:w="2427" w:type="dxa"/>
            <w:shd w:val="clear" w:color="auto" w:fill="FFFFFF" w:themeFill="background1"/>
          </w:tcPr>
          <w:p w14:paraId="0A848094" w14:textId="327B0581" w:rsidR="00512DB3" w:rsidRPr="008573D0" w:rsidRDefault="0040042A"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НЕ</w:t>
            </w:r>
          </w:p>
        </w:tc>
      </w:tr>
      <w:tr w:rsidR="00512DB3" w:rsidRPr="00A41E83" w14:paraId="18BC19E1" w14:textId="77777777" w:rsidTr="0014574B">
        <w:tc>
          <w:tcPr>
            <w:tcW w:w="8081" w:type="dxa"/>
            <w:shd w:val="clear" w:color="auto" w:fill="auto"/>
          </w:tcPr>
          <w:p w14:paraId="3774276C"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 xml:space="preserve">Индикатор 4. </w:t>
            </w:r>
            <w:r w:rsidRPr="00A41E83">
              <w:rPr>
                <w:rFonts w:ascii="Times New Roman" w:eastAsia="Calibri" w:hAnsi="Times New Roman" w:cs="Times New Roman"/>
                <w:b/>
                <w:bCs/>
                <w:lang w:val="bg-BG"/>
              </w:rPr>
              <w:t>Представят се редовни отчети на длъжностните лица и изборните представители, сравняващи действителните приходи и разходи с бюджета.</w:t>
            </w:r>
          </w:p>
        </w:tc>
        <w:tc>
          <w:tcPr>
            <w:tcW w:w="4252" w:type="dxa"/>
            <w:shd w:val="clear" w:color="auto" w:fill="FFFFFF" w:themeFill="background1"/>
          </w:tcPr>
          <w:p w14:paraId="7E192C94" w14:textId="34B00677" w:rsidR="00512DB3" w:rsidRPr="0059444C" w:rsidRDefault="0059444C" w:rsidP="0059444C">
            <w:pPr>
              <w:spacing w:line="276" w:lineRule="auto"/>
              <w:jc w:val="both"/>
              <w:rPr>
                <w:rFonts w:ascii="Times New Roman" w:eastAsia="Calibri" w:hAnsi="Times New Roman" w:cs="Times New Roman"/>
                <w:sz w:val="20"/>
                <w:szCs w:val="20"/>
                <w:lang w:val="bg-BG"/>
              </w:rPr>
            </w:pPr>
            <w:r w:rsidRPr="0059444C">
              <w:rPr>
                <w:rFonts w:ascii="Times New Roman" w:eastAsia="Calibri" w:hAnsi="Times New Roman" w:cs="Times New Roman"/>
                <w:sz w:val="20"/>
                <w:szCs w:val="20"/>
                <w:lang w:val="bg-BG"/>
              </w:rPr>
              <w:t>Приложените документи свидетелстват, че се представят отчети на длъжностните лица и изборните представители, сравняващи действителните приходи и разходи с бюджета: изготвят се и се оповестяват чрез сайта на общината годишни финансови отчети, Отчет за касовото изпълнение на бюджета, баланс и съответните приложения, разчет на финансиране на капиталовите разходи. Тези документи са публично достъпни чрез официалната Интернет страница на община Каспичан.</w:t>
            </w:r>
          </w:p>
        </w:tc>
        <w:tc>
          <w:tcPr>
            <w:tcW w:w="2427" w:type="dxa"/>
            <w:shd w:val="clear" w:color="auto" w:fill="FFFFFF" w:themeFill="background1"/>
          </w:tcPr>
          <w:p w14:paraId="26D01B82" w14:textId="47660B28" w:rsidR="00512DB3" w:rsidRPr="008573D0" w:rsidRDefault="0050363A"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12DB3" w:rsidRPr="00A41E83" w14:paraId="219E4466" w14:textId="77777777" w:rsidTr="0014574B">
        <w:tc>
          <w:tcPr>
            <w:tcW w:w="8081" w:type="dxa"/>
            <w:shd w:val="clear" w:color="auto" w:fill="auto"/>
          </w:tcPr>
          <w:p w14:paraId="03398371"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5. Сметките се одитират от лица, които са независими от общината.</w:t>
            </w:r>
          </w:p>
        </w:tc>
        <w:tc>
          <w:tcPr>
            <w:tcW w:w="4252" w:type="dxa"/>
            <w:shd w:val="clear" w:color="auto" w:fill="FFFFFF" w:themeFill="background1"/>
          </w:tcPr>
          <w:p w14:paraId="50742A17" w14:textId="790656F8" w:rsidR="00512DB3" w:rsidRPr="0040042A" w:rsidRDefault="0059444C" w:rsidP="0040042A">
            <w:pPr>
              <w:spacing w:line="276" w:lineRule="auto"/>
              <w:rPr>
                <w:rFonts w:ascii="Times New Roman" w:eastAsia="Calibri" w:hAnsi="Times New Roman" w:cs="Times New Roman"/>
                <w:sz w:val="20"/>
                <w:szCs w:val="20"/>
                <w:lang w:val="bg-BG"/>
              </w:rPr>
            </w:pPr>
            <w:r w:rsidRPr="0059444C">
              <w:rPr>
                <w:rFonts w:ascii="Times New Roman" w:eastAsia="Calibri" w:hAnsi="Times New Roman" w:cs="Times New Roman"/>
                <w:sz w:val="20"/>
                <w:szCs w:val="20"/>
                <w:lang w:val="bg-BG"/>
              </w:rPr>
              <w:t>Извършват се одити от Сметна плата- одити за съответствието и финансови одити на консолидирания годишен финансов отчет на община</w:t>
            </w:r>
            <w:r>
              <w:rPr>
                <w:rFonts w:ascii="Times New Roman" w:eastAsia="Calibri" w:hAnsi="Times New Roman" w:cs="Times New Roman"/>
                <w:sz w:val="20"/>
                <w:szCs w:val="20"/>
                <w:lang w:val="bg-BG"/>
              </w:rPr>
              <w:t xml:space="preserve"> Каспичан</w:t>
            </w:r>
            <w:r w:rsidRPr="0059444C">
              <w:rPr>
                <w:rFonts w:ascii="Times New Roman" w:eastAsia="Calibri" w:hAnsi="Times New Roman" w:cs="Times New Roman"/>
                <w:sz w:val="20"/>
                <w:szCs w:val="20"/>
                <w:lang w:val="bg-BG"/>
              </w:rPr>
              <w:t xml:space="preserve">. </w:t>
            </w:r>
          </w:p>
        </w:tc>
        <w:tc>
          <w:tcPr>
            <w:tcW w:w="2427" w:type="dxa"/>
            <w:shd w:val="clear" w:color="auto" w:fill="FFFFFF" w:themeFill="background1"/>
          </w:tcPr>
          <w:p w14:paraId="137F9C5C" w14:textId="78665AD7" w:rsidR="00512DB3" w:rsidRPr="008573D0" w:rsidRDefault="0050363A"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12DB3" w:rsidRPr="00A41E83" w14:paraId="553CFCE4" w14:textId="77777777" w:rsidTr="0014574B">
        <w:tc>
          <w:tcPr>
            <w:tcW w:w="8081" w:type="dxa"/>
            <w:shd w:val="clear" w:color="auto" w:fill="auto"/>
          </w:tcPr>
          <w:p w14:paraId="4FB2C1C3"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6. Извършените външни финансови одити и годишните одити се оповестяват публично.</w:t>
            </w:r>
          </w:p>
        </w:tc>
        <w:tc>
          <w:tcPr>
            <w:tcW w:w="4252" w:type="dxa"/>
            <w:shd w:val="clear" w:color="auto" w:fill="FFFFFF" w:themeFill="background1"/>
          </w:tcPr>
          <w:p w14:paraId="17C04556" w14:textId="528411EF" w:rsidR="00512DB3" w:rsidRPr="0040042A" w:rsidRDefault="0059444C" w:rsidP="0040042A">
            <w:pPr>
              <w:spacing w:line="276" w:lineRule="auto"/>
              <w:rPr>
                <w:rFonts w:ascii="Times New Roman" w:eastAsia="Calibri" w:hAnsi="Times New Roman" w:cs="Times New Roman"/>
                <w:sz w:val="20"/>
                <w:szCs w:val="20"/>
                <w:lang w:val="bg-BG"/>
              </w:rPr>
            </w:pPr>
            <w:r w:rsidRPr="0059444C">
              <w:rPr>
                <w:rFonts w:ascii="Times New Roman" w:eastAsia="Calibri" w:hAnsi="Times New Roman" w:cs="Times New Roman"/>
                <w:sz w:val="20"/>
                <w:szCs w:val="20"/>
                <w:lang w:val="bg-BG"/>
              </w:rPr>
              <w:t>Докладите на Сметна плата са публично достъпни, като към кандидатурата е представен линк, рефериращ към съответните доклади.</w:t>
            </w:r>
          </w:p>
        </w:tc>
        <w:tc>
          <w:tcPr>
            <w:tcW w:w="2427" w:type="dxa"/>
            <w:shd w:val="clear" w:color="auto" w:fill="FFFFFF" w:themeFill="background1"/>
          </w:tcPr>
          <w:p w14:paraId="4630B282" w14:textId="08B221AA" w:rsidR="00512DB3" w:rsidRPr="008573D0" w:rsidRDefault="0050363A"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12DB3" w:rsidRPr="00A41E83" w14:paraId="0427FCF4" w14:textId="77777777" w:rsidTr="0014574B">
        <w:tc>
          <w:tcPr>
            <w:tcW w:w="8081" w:type="dxa"/>
            <w:shd w:val="clear" w:color="auto" w:fill="auto"/>
          </w:tcPr>
          <w:p w14:paraId="1FBEA49A"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7. Годишният одит включва проверка на получена стойност (като качество и достъпност) срещу изразходвани пари при предоставянето на услуги от общината.</w:t>
            </w:r>
          </w:p>
        </w:tc>
        <w:tc>
          <w:tcPr>
            <w:tcW w:w="4252" w:type="dxa"/>
            <w:shd w:val="clear" w:color="auto" w:fill="FFFFFF" w:themeFill="background1"/>
          </w:tcPr>
          <w:p w14:paraId="3DB45928" w14:textId="77777777" w:rsidR="0059444C" w:rsidRDefault="0059444C" w:rsidP="0040042A">
            <w:pPr>
              <w:spacing w:line="276" w:lineRule="auto"/>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 xml:space="preserve">От Сметна палата се извършват се ежегодни одити на консолидирания финансов отчет. Направен е Одит на съответствието от страна на Сметна палата. </w:t>
            </w:r>
            <w:r w:rsidRPr="0059444C">
              <w:rPr>
                <w:rFonts w:ascii="Times New Roman" w:eastAsia="Calibri" w:hAnsi="Times New Roman" w:cs="Times New Roman"/>
                <w:sz w:val="20"/>
                <w:szCs w:val="20"/>
                <w:lang w:val="bg-BG"/>
              </w:rPr>
              <w:t>Общината е преминала през одитни процедури по ISO 9001-2015, притежава съответните сертификати и е внедрила модела CAF</w:t>
            </w:r>
            <w:r>
              <w:rPr>
                <w:rFonts w:ascii="Times New Roman" w:eastAsia="Calibri" w:hAnsi="Times New Roman" w:cs="Times New Roman"/>
                <w:sz w:val="20"/>
                <w:szCs w:val="20"/>
                <w:lang w:val="bg-BG"/>
              </w:rPr>
              <w:t>.</w:t>
            </w:r>
          </w:p>
          <w:p w14:paraId="6FBD5F64" w14:textId="5A0202E6" w:rsidR="0059444C" w:rsidRPr="0059444C" w:rsidRDefault="0059444C" w:rsidP="0040042A">
            <w:pPr>
              <w:spacing w:line="276" w:lineRule="auto"/>
              <w:rPr>
                <w:rFonts w:ascii="Times New Roman" w:eastAsia="Calibri" w:hAnsi="Times New Roman" w:cs="Times New Roman"/>
                <w:i/>
                <w:iCs/>
                <w:sz w:val="20"/>
                <w:szCs w:val="20"/>
                <w:u w:val="single"/>
                <w:lang w:val="ru-RU"/>
              </w:rPr>
            </w:pPr>
            <w:r w:rsidRPr="0059444C">
              <w:rPr>
                <w:rFonts w:ascii="Times New Roman" w:eastAsia="Calibri" w:hAnsi="Times New Roman" w:cs="Times New Roman"/>
                <w:sz w:val="20"/>
                <w:szCs w:val="20"/>
                <w:lang w:val="bg-BG"/>
              </w:rPr>
              <w:lastRenderedPageBreak/>
              <w:t xml:space="preserve"> </w:t>
            </w:r>
            <w:r w:rsidRPr="0059444C">
              <w:rPr>
                <w:rFonts w:ascii="Times New Roman" w:eastAsia="Calibri" w:hAnsi="Times New Roman" w:cs="Times New Roman"/>
                <w:i/>
                <w:iCs/>
                <w:sz w:val="20"/>
                <w:szCs w:val="20"/>
                <w:u w:val="single"/>
                <w:lang w:val="bg-BG"/>
              </w:rPr>
              <w:t>Община Каспичан добросъвестно представя документи (доклади, отчети, обявления), свързани с вътрешния одит и е виден стремежът за подобрения в тази област и стриктно съблюдаване на законовите изисквания.</w:t>
            </w:r>
          </w:p>
        </w:tc>
        <w:tc>
          <w:tcPr>
            <w:tcW w:w="2427" w:type="dxa"/>
            <w:shd w:val="clear" w:color="auto" w:fill="FFFFFF" w:themeFill="background1"/>
          </w:tcPr>
          <w:p w14:paraId="4F01690D" w14:textId="59E24A50" w:rsidR="00512DB3" w:rsidRPr="008573D0" w:rsidRDefault="0040042A"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НЕ</w:t>
            </w:r>
          </w:p>
        </w:tc>
      </w:tr>
      <w:tr w:rsidR="005B42F5" w:rsidRPr="00A41E83" w14:paraId="1AC76652" w14:textId="77777777" w:rsidTr="00512DB3">
        <w:tc>
          <w:tcPr>
            <w:tcW w:w="14760" w:type="dxa"/>
            <w:gridSpan w:val="3"/>
            <w:shd w:val="clear" w:color="auto" w:fill="FBE4D5" w:themeFill="accent2" w:themeFillTint="33"/>
          </w:tcPr>
          <w:p w14:paraId="0D1FDF55" w14:textId="77777777" w:rsidR="005B42F5" w:rsidRPr="00A41E83" w:rsidRDefault="005B42F5" w:rsidP="00A41E83">
            <w:pPr>
              <w:tabs>
                <w:tab w:val="left" w:pos="7938"/>
              </w:tabs>
              <w:spacing w:afterLines="40" w:after="96"/>
              <w:jc w:val="both"/>
              <w:rPr>
                <w:rFonts w:ascii="Times New Roman" w:eastAsia="Calibri" w:hAnsi="Times New Roman" w:cs="Times New Roman"/>
                <w:b/>
                <w:lang w:val="bg-BG"/>
              </w:rPr>
            </w:pPr>
            <w:r w:rsidRPr="00A41E83">
              <w:rPr>
                <w:rFonts w:ascii="Times New Roman" w:eastAsia="Times New Roman" w:hAnsi="Times New Roman" w:cs="Times New Roman"/>
                <w:b/>
                <w:bCs/>
                <w:noProof/>
                <w:lang w:val="bg-BG" w:eastAsia="bg-BG"/>
              </w:rPr>
              <w:t>ДЕЙНОСТ 3: Подготвят се многогодишни бюджетни планове с широко обществено обсъждане.</w:t>
            </w:r>
          </w:p>
        </w:tc>
      </w:tr>
      <w:tr w:rsidR="00512DB3" w:rsidRPr="00A41E83" w14:paraId="5C2396A8" w14:textId="77777777" w:rsidTr="0014574B">
        <w:tc>
          <w:tcPr>
            <w:tcW w:w="8081" w:type="dxa"/>
            <w:shd w:val="clear" w:color="auto" w:fill="auto"/>
          </w:tcPr>
          <w:p w14:paraId="6EAD123B"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8. Годишни бюджети и многогодишни прогнози се приемат преди началото на съответния период.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w:t>
            </w:r>
          </w:p>
        </w:tc>
        <w:tc>
          <w:tcPr>
            <w:tcW w:w="4252" w:type="dxa"/>
            <w:shd w:val="clear" w:color="auto" w:fill="FFFFFF" w:themeFill="background1"/>
          </w:tcPr>
          <w:p w14:paraId="534C03B4" w14:textId="77777777" w:rsidR="0014574B" w:rsidRDefault="0059444C" w:rsidP="0059444C">
            <w:pPr>
              <w:spacing w:line="276" w:lineRule="auto"/>
              <w:jc w:val="both"/>
              <w:rPr>
                <w:rFonts w:ascii="Times New Roman" w:eastAsia="Calibri" w:hAnsi="Times New Roman" w:cs="Times New Roman"/>
                <w:sz w:val="20"/>
                <w:szCs w:val="20"/>
                <w:lang w:val="bg-BG"/>
              </w:rPr>
            </w:pPr>
            <w:r w:rsidRPr="0059444C">
              <w:rPr>
                <w:rFonts w:ascii="Times New Roman" w:eastAsia="Calibri" w:hAnsi="Times New Roman" w:cs="Times New Roman"/>
                <w:sz w:val="20"/>
                <w:szCs w:val="20"/>
                <w:lang w:val="bg-BG"/>
              </w:rPr>
              <w:t xml:space="preserve">Прегледът на представената документация и линкове показва, че при изготвяне на бюджета се спазва действащото законодателство. Бюджетите очертават главните разчети по приходоизточници и тяхното разпределение. </w:t>
            </w:r>
          </w:p>
          <w:p w14:paraId="0CBE2894" w14:textId="750EC943" w:rsidR="0059444C" w:rsidRDefault="0059444C" w:rsidP="0059444C">
            <w:pPr>
              <w:spacing w:line="276" w:lineRule="auto"/>
              <w:jc w:val="both"/>
              <w:rPr>
                <w:rFonts w:ascii="Times New Roman" w:eastAsia="Calibri" w:hAnsi="Times New Roman" w:cs="Times New Roman"/>
                <w:sz w:val="20"/>
                <w:szCs w:val="20"/>
                <w:lang w:val="bg-BG"/>
              </w:rPr>
            </w:pPr>
            <w:r w:rsidRPr="0059444C">
              <w:rPr>
                <w:rFonts w:ascii="Times New Roman" w:eastAsia="Calibri" w:hAnsi="Times New Roman" w:cs="Times New Roman"/>
                <w:sz w:val="20"/>
                <w:szCs w:val="20"/>
                <w:lang w:val="bg-BG"/>
              </w:rPr>
              <w:t>Преди приемане бюджета се подлага на обществено обсъждане. Публикувани са покани за обществено обсъждане. Бюджетът и отчетите за изпълнението му се публикуват на Интернет страницата на община Каспичан.</w:t>
            </w:r>
          </w:p>
          <w:p w14:paraId="00A1555A" w14:textId="47867833" w:rsidR="00512DB3" w:rsidRPr="0059444C" w:rsidRDefault="0059444C" w:rsidP="0059444C">
            <w:pPr>
              <w:spacing w:line="276" w:lineRule="auto"/>
              <w:jc w:val="both"/>
              <w:rPr>
                <w:rFonts w:ascii="Times New Roman" w:eastAsia="Calibri" w:hAnsi="Times New Roman" w:cs="Times New Roman"/>
                <w:sz w:val="20"/>
                <w:szCs w:val="20"/>
                <w:lang w:val="bg-BG"/>
              </w:rPr>
            </w:pPr>
            <w:r w:rsidRPr="0059444C">
              <w:rPr>
                <w:rFonts w:ascii="Times New Roman" w:eastAsia="Calibri" w:hAnsi="Times New Roman" w:cs="Times New Roman"/>
                <w:sz w:val="20"/>
                <w:szCs w:val="20"/>
                <w:lang w:val="bg-BG"/>
              </w:rPr>
              <w:t xml:space="preserve">Преди началото на съответния период се разработват многогодишни бюджетни прогнози при съблюдаване на законовите изисквания и на Наредбата за условията и реда за съставяне на бюджетна прогноза за местни дейности за следващите три години и за съставяне, обсъждане, приемане, изпълнение, отчитане и контрол на бюджета на Община Каспичан. </w:t>
            </w:r>
          </w:p>
        </w:tc>
        <w:tc>
          <w:tcPr>
            <w:tcW w:w="2427" w:type="dxa"/>
            <w:shd w:val="clear" w:color="auto" w:fill="FFFFFF" w:themeFill="background1"/>
          </w:tcPr>
          <w:p w14:paraId="4854112C" w14:textId="797BC3C3" w:rsidR="00512DB3" w:rsidRPr="008573D0" w:rsidRDefault="0050363A"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12DB3" w:rsidRPr="00A41E83" w14:paraId="605019C3" w14:textId="77777777" w:rsidTr="0014574B">
        <w:tc>
          <w:tcPr>
            <w:tcW w:w="8081" w:type="dxa"/>
            <w:shd w:val="clear" w:color="auto" w:fill="auto"/>
          </w:tcPr>
          <w:p w14:paraId="5C578FE2"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9</w:t>
            </w:r>
            <w:r w:rsidR="00EE0D4C">
              <w:rPr>
                <w:rFonts w:ascii="Times New Roman" w:eastAsia="Calibri" w:hAnsi="Times New Roman" w:cs="Times New Roman"/>
                <w:b/>
                <w:lang w:val="bg-BG"/>
              </w:rPr>
              <w:t>.</w:t>
            </w:r>
            <w:r w:rsidRPr="00A41E83">
              <w:rPr>
                <w:rFonts w:ascii="Times New Roman" w:eastAsia="Times New Roman" w:hAnsi="Times New Roman" w:cs="Times New Roman"/>
                <w:lang w:val="bg-BG"/>
              </w:rPr>
              <w:t xml:space="preserve"> </w:t>
            </w:r>
            <w:r w:rsidRPr="00A41E83">
              <w:rPr>
                <w:rFonts w:ascii="Times New Roman" w:eastAsia="Calibri" w:hAnsi="Times New Roman" w:cs="Times New Roman"/>
                <w:b/>
                <w:lang w:val="bg-BG"/>
              </w:rPr>
              <w:t>Общината публично оповестява и предоставя информация за основните показатели на бюджета, одобрения бюджет, годишния отчет за изпълнението му и данъчните ставки, както и развитието на видовете услуги и подобряване на тяхното качество.</w:t>
            </w:r>
          </w:p>
        </w:tc>
        <w:tc>
          <w:tcPr>
            <w:tcW w:w="4252" w:type="dxa"/>
            <w:shd w:val="clear" w:color="auto" w:fill="FFFFFF" w:themeFill="background1"/>
          </w:tcPr>
          <w:p w14:paraId="2637BDAD" w14:textId="61397A39" w:rsidR="00512DB3" w:rsidRPr="0059444C" w:rsidRDefault="0059444C" w:rsidP="0059444C">
            <w:pPr>
              <w:spacing w:line="276" w:lineRule="auto"/>
              <w:jc w:val="both"/>
              <w:rPr>
                <w:rFonts w:ascii="Times New Roman" w:eastAsia="Calibri" w:hAnsi="Times New Roman" w:cs="Times New Roman"/>
                <w:sz w:val="20"/>
                <w:szCs w:val="20"/>
                <w:lang w:val="bg-BG"/>
              </w:rPr>
            </w:pPr>
            <w:r w:rsidRPr="0059444C">
              <w:rPr>
                <w:rFonts w:ascii="Times New Roman" w:eastAsia="Calibri" w:hAnsi="Times New Roman" w:cs="Times New Roman"/>
                <w:sz w:val="20"/>
                <w:szCs w:val="20"/>
                <w:lang w:val="bg-BG"/>
              </w:rPr>
              <w:t>Към кандидатурата на общината са приложени файлове с годишната бюджетна прогноза за периода 2023-2025 и Прогноза за постъпленията от местни приходи. Бюджетната прогноза е публично достъпна чрез сайта на общината.</w:t>
            </w:r>
          </w:p>
        </w:tc>
        <w:tc>
          <w:tcPr>
            <w:tcW w:w="2427" w:type="dxa"/>
            <w:shd w:val="clear" w:color="auto" w:fill="FFFFFF" w:themeFill="background1"/>
          </w:tcPr>
          <w:p w14:paraId="437450E4" w14:textId="78E96D40" w:rsidR="00512DB3" w:rsidRPr="008573D0" w:rsidRDefault="0050363A"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B42F5" w:rsidRPr="00A41E83" w14:paraId="214026B4" w14:textId="77777777" w:rsidTr="00512DB3">
        <w:tc>
          <w:tcPr>
            <w:tcW w:w="14760" w:type="dxa"/>
            <w:gridSpan w:val="3"/>
            <w:shd w:val="clear" w:color="auto" w:fill="FBE4D5" w:themeFill="accent2" w:themeFillTint="33"/>
          </w:tcPr>
          <w:p w14:paraId="7BF92CFF" w14:textId="77777777" w:rsidR="005B42F5" w:rsidRPr="00A41E83" w:rsidRDefault="005B42F5" w:rsidP="00A41E83">
            <w:pPr>
              <w:tabs>
                <w:tab w:val="left" w:pos="7938"/>
              </w:tabs>
              <w:spacing w:afterLines="40" w:after="96"/>
              <w:jc w:val="both"/>
              <w:rPr>
                <w:rFonts w:ascii="Times New Roman" w:eastAsia="Calibri" w:hAnsi="Times New Roman" w:cs="Times New Roman"/>
                <w:b/>
                <w:lang w:val="bg-BG"/>
              </w:rPr>
            </w:pPr>
            <w:r w:rsidRPr="00A41E83">
              <w:rPr>
                <w:rFonts w:ascii="Times New Roman" w:eastAsia="Times New Roman" w:hAnsi="Times New Roman" w:cs="Times New Roman"/>
                <w:b/>
                <w:bCs/>
                <w:noProof/>
                <w:lang w:val="bg-BG" w:eastAsia="bg-BG"/>
              </w:rPr>
              <w:lastRenderedPageBreak/>
              <w:t>ДЕЙНОСТ 4: Рисковете са правилно преценявани и управлявани, включително чрез публикуване на консолидирани отчети и, в случай на публично-частни партньорства, чрез реалистично разпределяне на рисковете.</w:t>
            </w:r>
          </w:p>
        </w:tc>
      </w:tr>
      <w:tr w:rsidR="00512DB3" w:rsidRPr="00A41E83" w14:paraId="1EEE07B9" w14:textId="77777777" w:rsidTr="0014574B">
        <w:tc>
          <w:tcPr>
            <w:tcW w:w="8081" w:type="dxa"/>
            <w:shd w:val="clear" w:color="auto" w:fill="auto"/>
          </w:tcPr>
          <w:p w14:paraId="351988CE"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10. Общината установява и управлява своите финансови и свързани с предоставянето на услуги рискове чрез една от следните дейности:</w:t>
            </w:r>
          </w:p>
          <w:p w14:paraId="2FA21044" w14:textId="77777777" w:rsidR="00512DB3" w:rsidRPr="00A41E83" w:rsidRDefault="00512DB3" w:rsidP="00512DB3">
            <w:pPr>
              <w:tabs>
                <w:tab w:val="left" w:pos="172"/>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w:t>
            </w:r>
            <w:r w:rsidRPr="00A41E83">
              <w:rPr>
                <w:rFonts w:ascii="Times New Roman" w:eastAsia="Calibri" w:hAnsi="Times New Roman" w:cs="Times New Roman"/>
                <w:b/>
                <w:lang w:val="bg-BG"/>
              </w:rPr>
              <w:tab/>
              <w:t>поемане и управление на рисковете;</w:t>
            </w:r>
          </w:p>
          <w:p w14:paraId="7756DAD7" w14:textId="77777777" w:rsidR="00512DB3" w:rsidRPr="00A41E83" w:rsidRDefault="00512DB3" w:rsidP="00512DB3">
            <w:pPr>
              <w:tabs>
                <w:tab w:val="left" w:pos="172"/>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w:t>
            </w:r>
            <w:r w:rsidRPr="00A41E83">
              <w:rPr>
                <w:rFonts w:ascii="Times New Roman" w:eastAsia="Calibri" w:hAnsi="Times New Roman" w:cs="Times New Roman"/>
                <w:b/>
                <w:lang w:val="bg-BG"/>
              </w:rPr>
              <w:tab/>
              <w:t>избягване на рисковете (например, чрез прехвърляне на дейността на друго юридическо лице);</w:t>
            </w:r>
          </w:p>
          <w:p w14:paraId="5A1657A6" w14:textId="77777777" w:rsidR="00512DB3" w:rsidRPr="00A41E83" w:rsidRDefault="00512DB3" w:rsidP="00512DB3">
            <w:pPr>
              <w:tabs>
                <w:tab w:val="left" w:pos="172"/>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w:t>
            </w:r>
            <w:r w:rsidRPr="00A41E83">
              <w:rPr>
                <w:rFonts w:ascii="Times New Roman" w:eastAsia="Calibri" w:hAnsi="Times New Roman" w:cs="Times New Roman"/>
                <w:b/>
                <w:lang w:val="bg-BG"/>
              </w:rPr>
              <w:tab/>
              <w:t>прехвърляне на рисковете (например, чрез публично-частни партньорства или получаването на търговски застраховки);  или</w:t>
            </w:r>
          </w:p>
          <w:p w14:paraId="262D6ABA" w14:textId="77777777" w:rsidR="00512DB3" w:rsidRPr="00A41E83" w:rsidRDefault="00512DB3" w:rsidP="00512DB3">
            <w:pPr>
              <w:tabs>
                <w:tab w:val="left" w:pos="172"/>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w:t>
            </w:r>
            <w:r w:rsidRPr="00A41E83">
              <w:rPr>
                <w:rFonts w:ascii="Times New Roman" w:eastAsia="Calibri" w:hAnsi="Times New Roman" w:cs="Times New Roman"/>
                <w:b/>
                <w:lang w:val="bg-BG"/>
              </w:rPr>
              <w:tab/>
              <w:t>споделяне на рисковете (например, чрез работа в сътрудничество с друга община).</w:t>
            </w:r>
          </w:p>
        </w:tc>
        <w:tc>
          <w:tcPr>
            <w:tcW w:w="4252" w:type="dxa"/>
            <w:shd w:val="clear" w:color="auto" w:fill="FFFFFF" w:themeFill="background1"/>
          </w:tcPr>
          <w:p w14:paraId="5A511E93" w14:textId="77777777" w:rsidR="0014574B" w:rsidRDefault="0014574B" w:rsidP="00AC694B">
            <w:pPr>
              <w:spacing w:line="276" w:lineRule="auto"/>
              <w:rPr>
                <w:rFonts w:ascii="Times New Roman" w:eastAsia="Calibri" w:hAnsi="Times New Roman" w:cs="Times New Roman"/>
                <w:sz w:val="20"/>
                <w:szCs w:val="20"/>
                <w:lang w:val="bg-BG"/>
              </w:rPr>
            </w:pPr>
            <w:r w:rsidRPr="0014574B">
              <w:rPr>
                <w:rFonts w:ascii="Times New Roman" w:eastAsia="Calibri" w:hAnsi="Times New Roman" w:cs="Times New Roman"/>
                <w:sz w:val="20"/>
                <w:szCs w:val="20"/>
                <w:lang w:val="bg-BG"/>
              </w:rPr>
              <w:t xml:space="preserve">Общината установява и управлява риска – финансови рискове и рискове, свързани с предоставянето на услуги. В съответствие с нормативните изисквания е разработена Стратегия за управление на риска, както и Риск – регистър, които функционират и се актуализират. </w:t>
            </w:r>
          </w:p>
          <w:p w14:paraId="376418DE" w14:textId="073012E2" w:rsidR="00512DB3" w:rsidRPr="00AC694B" w:rsidRDefault="0014574B" w:rsidP="00AC694B">
            <w:pPr>
              <w:spacing w:line="276" w:lineRule="auto"/>
              <w:rPr>
                <w:rFonts w:ascii="Times New Roman" w:eastAsia="Calibri" w:hAnsi="Times New Roman" w:cs="Times New Roman"/>
                <w:sz w:val="20"/>
                <w:szCs w:val="20"/>
                <w:lang w:val="bg-BG"/>
              </w:rPr>
            </w:pPr>
            <w:r w:rsidRPr="0014574B">
              <w:rPr>
                <w:rFonts w:ascii="Times New Roman" w:eastAsia="Calibri" w:hAnsi="Times New Roman" w:cs="Times New Roman"/>
                <w:sz w:val="20"/>
                <w:szCs w:val="20"/>
                <w:lang w:val="bg-BG"/>
              </w:rPr>
              <w:t>Предприемат се корективни действия съгласно одитните констатации и това е видно от представената документация. Сключени са застраховки на сградите и към документацията има предоставени линкове, удостоверяващи сключването на застраховки.</w:t>
            </w:r>
          </w:p>
        </w:tc>
        <w:tc>
          <w:tcPr>
            <w:tcW w:w="2427" w:type="dxa"/>
            <w:shd w:val="clear" w:color="auto" w:fill="FFFFFF" w:themeFill="background1"/>
          </w:tcPr>
          <w:p w14:paraId="161AD870" w14:textId="60641A4E" w:rsidR="00512DB3" w:rsidRPr="008573D0" w:rsidRDefault="0014574B"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B42F5" w:rsidRPr="00A41E83" w14:paraId="370C3950" w14:textId="77777777" w:rsidTr="00512DB3">
        <w:tc>
          <w:tcPr>
            <w:tcW w:w="14760" w:type="dxa"/>
            <w:gridSpan w:val="3"/>
            <w:shd w:val="clear" w:color="auto" w:fill="FBE4D5" w:themeFill="accent2" w:themeFillTint="33"/>
          </w:tcPr>
          <w:p w14:paraId="2CAAFF2D" w14:textId="77777777" w:rsidR="005B42F5" w:rsidRPr="00A41E83" w:rsidRDefault="005B42F5" w:rsidP="00A41E83">
            <w:pPr>
              <w:tabs>
                <w:tab w:val="left" w:pos="7938"/>
              </w:tabs>
              <w:spacing w:afterLines="40" w:after="96"/>
              <w:jc w:val="both"/>
              <w:rPr>
                <w:rFonts w:ascii="Times New Roman" w:eastAsia="Calibri" w:hAnsi="Times New Roman" w:cs="Times New Roman"/>
                <w:b/>
                <w:lang w:val="bg-BG"/>
              </w:rPr>
            </w:pPr>
            <w:r w:rsidRPr="00A41E83">
              <w:rPr>
                <w:rFonts w:ascii="Times New Roman" w:eastAsia="Times New Roman" w:hAnsi="Times New Roman" w:cs="Times New Roman"/>
                <w:b/>
                <w:bCs/>
                <w:noProof/>
                <w:lang w:val="bg-BG" w:eastAsia="bg-BG"/>
              </w:rPr>
              <w:t>ДЕЙНОСТ 5: Местната власт участва в споразумения за междуобщинска солидарност, справедливо разпределение на тежести и ползи и редуциране на рискове (изравнителни системи, междуобщинско сътрудничество и споделяне на рискове).</w:t>
            </w:r>
          </w:p>
        </w:tc>
      </w:tr>
      <w:tr w:rsidR="00512DB3" w:rsidRPr="00A41E83" w14:paraId="556BE8A9" w14:textId="77777777" w:rsidTr="0014574B">
        <w:tc>
          <w:tcPr>
            <w:tcW w:w="8081" w:type="dxa"/>
            <w:shd w:val="clear" w:color="auto" w:fill="auto"/>
          </w:tcPr>
          <w:p w14:paraId="6AFF9557"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11. Общината участва във форми за междуобщинско сътрудничество с цел подобряване на дейността й, както и на предоставяните от нея услуги</w:t>
            </w:r>
          </w:p>
        </w:tc>
        <w:tc>
          <w:tcPr>
            <w:tcW w:w="4252" w:type="dxa"/>
            <w:shd w:val="clear" w:color="auto" w:fill="FFFFFF" w:themeFill="background1"/>
          </w:tcPr>
          <w:p w14:paraId="6A111E4B" w14:textId="451EA985" w:rsidR="00512DB3" w:rsidRPr="0014574B" w:rsidRDefault="0014574B" w:rsidP="0014574B">
            <w:pPr>
              <w:spacing w:line="276" w:lineRule="auto"/>
              <w:rPr>
                <w:rFonts w:ascii="Times New Roman" w:eastAsia="Calibri" w:hAnsi="Times New Roman" w:cs="Times New Roman"/>
                <w:sz w:val="20"/>
                <w:szCs w:val="20"/>
                <w:lang w:val="bg-BG"/>
              </w:rPr>
            </w:pPr>
            <w:r w:rsidRPr="0014574B">
              <w:rPr>
                <w:rFonts w:ascii="Times New Roman" w:eastAsia="Calibri" w:hAnsi="Times New Roman" w:cs="Times New Roman"/>
                <w:sz w:val="20"/>
                <w:szCs w:val="20"/>
                <w:lang w:val="bg-BG"/>
              </w:rPr>
              <w:t xml:space="preserve">Общината е ангажирана в различни форми на между общинско сътрудничество с оглед подобряване на своята дейност. Инициирано е сключването на договор за сътрудничество за развитие на туризма и регионалния туристически продукт. между съседни общини – Каспичан, Шумен и Велики Преслав. Сключен е тристранен Меморандум за сътрудничество между гр. Плиска, гр. </w:t>
            </w:r>
            <w:proofErr w:type="spellStart"/>
            <w:r w:rsidRPr="0014574B">
              <w:rPr>
                <w:rFonts w:ascii="Times New Roman" w:eastAsia="Calibri" w:hAnsi="Times New Roman" w:cs="Times New Roman"/>
                <w:sz w:val="20"/>
                <w:szCs w:val="20"/>
                <w:lang w:val="bg-BG"/>
              </w:rPr>
              <w:t>Корфинио</w:t>
            </w:r>
            <w:proofErr w:type="spellEnd"/>
            <w:r w:rsidRPr="0014574B">
              <w:rPr>
                <w:rFonts w:ascii="Times New Roman" w:eastAsia="Calibri" w:hAnsi="Times New Roman" w:cs="Times New Roman"/>
                <w:sz w:val="20"/>
                <w:szCs w:val="20"/>
                <w:lang w:val="bg-BG"/>
              </w:rPr>
              <w:t xml:space="preserve">, Италия и гр. </w:t>
            </w:r>
            <w:proofErr w:type="spellStart"/>
            <w:r w:rsidRPr="0014574B">
              <w:rPr>
                <w:rFonts w:ascii="Times New Roman" w:eastAsia="Calibri" w:hAnsi="Times New Roman" w:cs="Times New Roman"/>
                <w:sz w:val="20"/>
                <w:szCs w:val="20"/>
                <w:lang w:val="bg-BG"/>
              </w:rPr>
              <w:t>Гниезно</w:t>
            </w:r>
            <w:proofErr w:type="spellEnd"/>
            <w:r w:rsidRPr="0014574B">
              <w:rPr>
                <w:rFonts w:ascii="Times New Roman" w:eastAsia="Calibri" w:hAnsi="Times New Roman" w:cs="Times New Roman"/>
                <w:sz w:val="20"/>
                <w:szCs w:val="20"/>
                <w:lang w:val="bg-BG"/>
              </w:rPr>
              <w:t>, Полша, както и побратимяване с малки общини от Украйна.</w:t>
            </w:r>
          </w:p>
        </w:tc>
        <w:tc>
          <w:tcPr>
            <w:tcW w:w="2427" w:type="dxa"/>
            <w:shd w:val="clear" w:color="auto" w:fill="FFFFFF" w:themeFill="background1"/>
          </w:tcPr>
          <w:p w14:paraId="2DC40E78" w14:textId="53D787DB" w:rsidR="00512DB3" w:rsidRPr="008573D0" w:rsidRDefault="0050363A"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A41E83" w:rsidRPr="00A41E83" w14:paraId="1B98DA44" w14:textId="77777777" w:rsidTr="0014574B">
        <w:tc>
          <w:tcPr>
            <w:tcW w:w="8081" w:type="dxa"/>
            <w:shd w:val="clear" w:color="auto" w:fill="E2EFD9" w:themeFill="accent6" w:themeFillTint="33"/>
          </w:tcPr>
          <w:p w14:paraId="27C977C8" w14:textId="77777777" w:rsidR="00A41E83" w:rsidRPr="00A41E83" w:rsidRDefault="00A41E83" w:rsidP="00A41E83">
            <w:pPr>
              <w:jc w:val="center"/>
              <w:rPr>
                <w:rFonts w:ascii="Times New Roman" w:eastAsia="Calibri" w:hAnsi="Times New Roman" w:cs="Times New Roman"/>
                <w:b/>
                <w:lang w:val="bg-BG"/>
              </w:rPr>
            </w:pPr>
          </w:p>
          <w:p w14:paraId="77050C12" w14:textId="77777777" w:rsidR="00A41E83" w:rsidRPr="00A41E83" w:rsidRDefault="00A41E83" w:rsidP="00A41E83">
            <w:pPr>
              <w:jc w:val="center"/>
              <w:rPr>
                <w:rFonts w:ascii="Times New Roman" w:eastAsia="Calibri" w:hAnsi="Times New Roman" w:cs="Times New Roman"/>
                <w:b/>
                <w:lang w:val="bg-BG"/>
              </w:rPr>
            </w:pPr>
            <w:r w:rsidRPr="00A41E83">
              <w:rPr>
                <w:rFonts w:ascii="Times New Roman" w:eastAsia="Calibri" w:hAnsi="Times New Roman" w:cs="Times New Roman"/>
                <w:b/>
                <w:lang w:val="bg-BG"/>
              </w:rPr>
              <w:t>СТАНОВИЩЕ ЗА ВЕРИФИЦИРАНЕ ПРИЛАГАНЕТО НА ПРИНЦИП 10:</w:t>
            </w:r>
          </w:p>
          <w:p w14:paraId="17ACF545" w14:textId="77777777" w:rsidR="00A41E83" w:rsidRPr="0050363A" w:rsidRDefault="00A41E83" w:rsidP="00A41E83">
            <w:pPr>
              <w:jc w:val="center"/>
              <w:rPr>
                <w:rFonts w:ascii="Times New Roman" w:eastAsia="Calibri" w:hAnsi="Times New Roman" w:cs="Times New Roman"/>
                <w:lang w:val="ru-RU"/>
              </w:rPr>
            </w:pPr>
          </w:p>
        </w:tc>
        <w:tc>
          <w:tcPr>
            <w:tcW w:w="6679" w:type="dxa"/>
            <w:gridSpan w:val="2"/>
            <w:shd w:val="clear" w:color="auto" w:fill="E2EFD9" w:themeFill="accent6" w:themeFillTint="33"/>
          </w:tcPr>
          <w:p w14:paraId="614A0CBD" w14:textId="77777777" w:rsidR="00A41E83" w:rsidRPr="0050363A" w:rsidRDefault="00A41E83" w:rsidP="00A41E83">
            <w:pPr>
              <w:jc w:val="center"/>
              <w:rPr>
                <w:rFonts w:ascii="Times New Roman" w:eastAsia="Calibri" w:hAnsi="Times New Roman" w:cs="Times New Roman"/>
                <w:lang w:val="ru-RU"/>
              </w:rPr>
            </w:pPr>
          </w:p>
          <w:p w14:paraId="70D7A319" w14:textId="0B3AE622" w:rsidR="00A41E83" w:rsidRPr="00A41E83" w:rsidRDefault="0050363A" w:rsidP="00A41E83">
            <w:pPr>
              <w:jc w:val="center"/>
              <w:rPr>
                <w:rFonts w:ascii="Times New Roman" w:eastAsia="Calibri" w:hAnsi="Times New Roman" w:cs="Times New Roman"/>
                <w:lang w:val="bg-BG"/>
              </w:rPr>
            </w:pPr>
            <w:r>
              <w:rPr>
                <w:rFonts w:ascii="Times New Roman" w:eastAsia="Calibri" w:hAnsi="Times New Roman" w:cs="Times New Roman"/>
                <w:lang w:val="bg-BG"/>
              </w:rPr>
              <w:t>Заверка „</w:t>
            </w:r>
            <w:r w:rsidRPr="00D17D20">
              <w:rPr>
                <w:rFonts w:ascii="Times New Roman" w:eastAsia="Calibri" w:hAnsi="Times New Roman" w:cs="Times New Roman"/>
                <w:b/>
                <w:bCs/>
                <w:lang w:val="bg-BG"/>
              </w:rPr>
              <w:t>с резерви</w:t>
            </w:r>
            <w:r>
              <w:rPr>
                <w:rFonts w:ascii="Times New Roman" w:eastAsia="Calibri" w:hAnsi="Times New Roman" w:cs="Times New Roman"/>
                <w:lang w:val="bg-BG"/>
              </w:rPr>
              <w:t>“</w:t>
            </w:r>
          </w:p>
        </w:tc>
      </w:tr>
    </w:tbl>
    <w:p w14:paraId="51FA10A2" w14:textId="77777777" w:rsidR="00246FD8" w:rsidRDefault="00246FD8"/>
    <w:sectPr w:rsidR="00246FD8" w:rsidSect="00B97B70">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1BB1D" w14:textId="77777777" w:rsidR="008B0F2D" w:rsidRDefault="008B0F2D" w:rsidP="00142318">
      <w:pPr>
        <w:spacing w:after="0" w:line="240" w:lineRule="auto"/>
      </w:pPr>
      <w:r>
        <w:separator/>
      </w:r>
    </w:p>
  </w:endnote>
  <w:endnote w:type="continuationSeparator" w:id="0">
    <w:p w14:paraId="7533D56D" w14:textId="77777777" w:rsidR="008B0F2D" w:rsidRDefault="008B0F2D" w:rsidP="0014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77588" w14:textId="77777777" w:rsidR="008B0F2D" w:rsidRDefault="008B0F2D" w:rsidP="00142318">
      <w:pPr>
        <w:spacing w:after="0" w:line="240" w:lineRule="auto"/>
      </w:pPr>
      <w:r>
        <w:separator/>
      </w:r>
    </w:p>
  </w:footnote>
  <w:footnote w:type="continuationSeparator" w:id="0">
    <w:p w14:paraId="1B1AB80F" w14:textId="77777777" w:rsidR="008B0F2D" w:rsidRDefault="008B0F2D" w:rsidP="001423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1AAEB" w14:textId="77777777" w:rsidR="00142318" w:rsidRPr="00142318" w:rsidRDefault="00142318" w:rsidP="00142318">
    <w:pPr>
      <w:pStyle w:val="Header"/>
      <w:jc w:val="right"/>
      <w:rPr>
        <w:rFonts w:ascii="Times New Roman" w:hAnsi="Times New Roman" w:cs="Times New Roman"/>
        <w:b/>
      </w:rPr>
    </w:pPr>
    <w:r>
      <w:rPr>
        <w:rFonts w:ascii="Times New Roman" w:hAnsi="Times New Roman" w:cs="Times New Roman"/>
        <w:b/>
      </w:rPr>
      <w:t>КОНТРОЛЕН ЛИСТ №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B732A"/>
    <w:multiLevelType w:val="hybridMultilevel"/>
    <w:tmpl w:val="E0768994"/>
    <w:lvl w:ilvl="0" w:tplc="04020001">
      <w:start w:val="1"/>
      <w:numFmt w:val="bullet"/>
      <w:lvlText w:val=""/>
      <w:lvlJc w:val="left"/>
      <w:pPr>
        <w:ind w:left="1972" w:hanging="360"/>
      </w:pPr>
      <w:rPr>
        <w:rFonts w:ascii="Symbol" w:hAnsi="Symbol" w:hint="default"/>
      </w:rPr>
    </w:lvl>
    <w:lvl w:ilvl="1" w:tplc="04020003" w:tentative="1">
      <w:start w:val="1"/>
      <w:numFmt w:val="bullet"/>
      <w:lvlText w:val="o"/>
      <w:lvlJc w:val="left"/>
      <w:pPr>
        <w:ind w:left="2692" w:hanging="360"/>
      </w:pPr>
      <w:rPr>
        <w:rFonts w:ascii="Courier New" w:hAnsi="Courier New" w:cs="Courier New" w:hint="default"/>
      </w:rPr>
    </w:lvl>
    <w:lvl w:ilvl="2" w:tplc="04020005" w:tentative="1">
      <w:start w:val="1"/>
      <w:numFmt w:val="bullet"/>
      <w:lvlText w:val=""/>
      <w:lvlJc w:val="left"/>
      <w:pPr>
        <w:ind w:left="3412" w:hanging="360"/>
      </w:pPr>
      <w:rPr>
        <w:rFonts w:ascii="Wingdings" w:hAnsi="Wingdings" w:hint="default"/>
      </w:rPr>
    </w:lvl>
    <w:lvl w:ilvl="3" w:tplc="04020001" w:tentative="1">
      <w:start w:val="1"/>
      <w:numFmt w:val="bullet"/>
      <w:lvlText w:val=""/>
      <w:lvlJc w:val="left"/>
      <w:pPr>
        <w:ind w:left="4132" w:hanging="360"/>
      </w:pPr>
      <w:rPr>
        <w:rFonts w:ascii="Symbol" w:hAnsi="Symbol" w:hint="default"/>
      </w:rPr>
    </w:lvl>
    <w:lvl w:ilvl="4" w:tplc="04020003" w:tentative="1">
      <w:start w:val="1"/>
      <w:numFmt w:val="bullet"/>
      <w:lvlText w:val="o"/>
      <w:lvlJc w:val="left"/>
      <w:pPr>
        <w:ind w:left="4852" w:hanging="360"/>
      </w:pPr>
      <w:rPr>
        <w:rFonts w:ascii="Courier New" w:hAnsi="Courier New" w:cs="Courier New" w:hint="default"/>
      </w:rPr>
    </w:lvl>
    <w:lvl w:ilvl="5" w:tplc="04020005" w:tentative="1">
      <w:start w:val="1"/>
      <w:numFmt w:val="bullet"/>
      <w:lvlText w:val=""/>
      <w:lvlJc w:val="left"/>
      <w:pPr>
        <w:ind w:left="5572" w:hanging="360"/>
      </w:pPr>
      <w:rPr>
        <w:rFonts w:ascii="Wingdings" w:hAnsi="Wingdings" w:hint="default"/>
      </w:rPr>
    </w:lvl>
    <w:lvl w:ilvl="6" w:tplc="04020001" w:tentative="1">
      <w:start w:val="1"/>
      <w:numFmt w:val="bullet"/>
      <w:lvlText w:val=""/>
      <w:lvlJc w:val="left"/>
      <w:pPr>
        <w:ind w:left="6292" w:hanging="360"/>
      </w:pPr>
      <w:rPr>
        <w:rFonts w:ascii="Symbol" w:hAnsi="Symbol" w:hint="default"/>
      </w:rPr>
    </w:lvl>
    <w:lvl w:ilvl="7" w:tplc="04020003" w:tentative="1">
      <w:start w:val="1"/>
      <w:numFmt w:val="bullet"/>
      <w:lvlText w:val="o"/>
      <w:lvlJc w:val="left"/>
      <w:pPr>
        <w:ind w:left="7012" w:hanging="360"/>
      </w:pPr>
      <w:rPr>
        <w:rFonts w:ascii="Courier New" w:hAnsi="Courier New" w:cs="Courier New" w:hint="default"/>
      </w:rPr>
    </w:lvl>
    <w:lvl w:ilvl="8" w:tplc="04020005" w:tentative="1">
      <w:start w:val="1"/>
      <w:numFmt w:val="bullet"/>
      <w:lvlText w:val=""/>
      <w:lvlJc w:val="left"/>
      <w:pPr>
        <w:ind w:left="7732" w:hanging="360"/>
      </w:pPr>
      <w:rPr>
        <w:rFonts w:ascii="Wingdings" w:hAnsi="Wingdings" w:hint="default"/>
      </w:rPr>
    </w:lvl>
  </w:abstractNum>
  <w:abstractNum w:abstractNumId="1" w15:restartNumberingAfterBreak="0">
    <w:nsid w:val="1DE6273E"/>
    <w:multiLevelType w:val="hybridMultilevel"/>
    <w:tmpl w:val="7F044020"/>
    <w:lvl w:ilvl="0" w:tplc="B7582512">
      <w:start w:val="1"/>
      <w:numFmt w:val="decimal"/>
      <w:lvlText w:val="%1."/>
      <w:lvlJc w:val="left"/>
      <w:pPr>
        <w:tabs>
          <w:tab w:val="num" w:pos="284"/>
        </w:tabs>
        <w:ind w:left="0" w:firstLine="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43BC36C2"/>
    <w:multiLevelType w:val="hybridMultilevel"/>
    <w:tmpl w:val="F1865136"/>
    <w:lvl w:ilvl="0" w:tplc="B7582512">
      <w:start w:val="1"/>
      <w:numFmt w:val="decimal"/>
      <w:lvlText w:val="%1."/>
      <w:lvlJc w:val="left"/>
      <w:pPr>
        <w:tabs>
          <w:tab w:val="num" w:pos="284"/>
        </w:tabs>
        <w:ind w:left="0" w:firstLine="284"/>
      </w:pPr>
    </w:lvl>
    <w:lvl w:ilvl="1" w:tplc="8ED887C8">
      <w:start w:val="1"/>
      <w:numFmt w:val="bullet"/>
      <w:lvlText w:val=""/>
      <w:lvlJc w:val="left"/>
      <w:pPr>
        <w:tabs>
          <w:tab w:val="num" w:pos="1250"/>
        </w:tabs>
        <w:ind w:left="1080" w:firstLine="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B70"/>
    <w:rsid w:val="00142318"/>
    <w:rsid w:val="0014574B"/>
    <w:rsid w:val="001D2469"/>
    <w:rsid w:val="00246FD8"/>
    <w:rsid w:val="0026153B"/>
    <w:rsid w:val="0040042A"/>
    <w:rsid w:val="0050363A"/>
    <w:rsid w:val="0050448D"/>
    <w:rsid w:val="00512DB3"/>
    <w:rsid w:val="00570C24"/>
    <w:rsid w:val="0059444C"/>
    <w:rsid w:val="005B42F5"/>
    <w:rsid w:val="006B788A"/>
    <w:rsid w:val="007B48EC"/>
    <w:rsid w:val="0084459C"/>
    <w:rsid w:val="008B0F2D"/>
    <w:rsid w:val="00962F8A"/>
    <w:rsid w:val="00A41E83"/>
    <w:rsid w:val="00AC694B"/>
    <w:rsid w:val="00B5739E"/>
    <w:rsid w:val="00B97B70"/>
    <w:rsid w:val="00BE2F77"/>
    <w:rsid w:val="00D60042"/>
    <w:rsid w:val="00D647D5"/>
    <w:rsid w:val="00EE0D4C"/>
    <w:rsid w:val="00F2267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2B7CA"/>
  <w15:chartTrackingRefBased/>
  <w15:docId w15:val="{39323546-F1BB-4EB3-9F4E-1577BE7A8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4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7B7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0042"/>
    <w:pPr>
      <w:ind w:left="720"/>
      <w:contextualSpacing/>
    </w:pPr>
  </w:style>
  <w:style w:type="paragraph" w:styleId="Header">
    <w:name w:val="header"/>
    <w:basedOn w:val="Normal"/>
    <w:link w:val="HeaderChar"/>
    <w:uiPriority w:val="99"/>
    <w:unhideWhenUsed/>
    <w:rsid w:val="00142318"/>
    <w:pPr>
      <w:tabs>
        <w:tab w:val="center" w:pos="4536"/>
        <w:tab w:val="right" w:pos="9072"/>
      </w:tabs>
      <w:spacing w:after="0" w:line="240" w:lineRule="auto"/>
    </w:pPr>
  </w:style>
  <w:style w:type="character" w:customStyle="1" w:styleId="HeaderChar">
    <w:name w:val="Header Char"/>
    <w:basedOn w:val="DefaultParagraphFont"/>
    <w:link w:val="Header"/>
    <w:uiPriority w:val="99"/>
    <w:rsid w:val="00142318"/>
  </w:style>
  <w:style w:type="paragraph" w:styleId="Footer">
    <w:name w:val="footer"/>
    <w:basedOn w:val="Normal"/>
    <w:link w:val="FooterChar"/>
    <w:uiPriority w:val="99"/>
    <w:unhideWhenUsed/>
    <w:rsid w:val="00142318"/>
    <w:pPr>
      <w:tabs>
        <w:tab w:val="center" w:pos="4536"/>
        <w:tab w:val="right" w:pos="9072"/>
      </w:tabs>
      <w:spacing w:after="0" w:line="240" w:lineRule="auto"/>
    </w:pPr>
  </w:style>
  <w:style w:type="character" w:customStyle="1" w:styleId="FooterChar">
    <w:name w:val="Footer Char"/>
    <w:basedOn w:val="DefaultParagraphFont"/>
    <w:link w:val="Footer"/>
    <w:uiPriority w:val="99"/>
    <w:rsid w:val="00142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User</cp:lastModifiedBy>
  <cp:revision>13</cp:revision>
  <dcterms:created xsi:type="dcterms:W3CDTF">2022-07-05T11:20:00Z</dcterms:created>
  <dcterms:modified xsi:type="dcterms:W3CDTF">2025-06-05T10:36:00Z</dcterms:modified>
</cp:coreProperties>
</file>